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88" w:type="dxa"/>
        <w:tblInd w:w="-363" w:type="dxa"/>
        <w:shd w:val="clear" w:color="auto" w:fill="auto"/>
        <w:tblLayout w:type="fixed"/>
        <w:tblCellMar>
          <w:top w:w="0" w:type="dxa"/>
          <w:left w:w="0" w:type="dxa"/>
          <w:bottom w:w="0" w:type="dxa"/>
          <w:right w:w="0" w:type="dxa"/>
        </w:tblCellMar>
      </w:tblPr>
      <w:tblGrid>
        <w:gridCol w:w="9488"/>
      </w:tblGrid>
      <w:tr w14:paraId="236EB9FF">
        <w:tblPrEx>
          <w:shd w:val="clear" w:color="auto" w:fill="auto"/>
          <w:tblCellMar>
            <w:top w:w="0" w:type="dxa"/>
            <w:left w:w="0" w:type="dxa"/>
            <w:bottom w:w="0" w:type="dxa"/>
            <w:right w:w="0" w:type="dxa"/>
          </w:tblCellMar>
        </w:tblPrEx>
        <w:trPr>
          <w:trHeight w:val="700" w:hRule="atLeast"/>
        </w:trPr>
        <w:tc>
          <w:tcPr>
            <w:tcW w:w="9488" w:type="dxa"/>
            <w:tcBorders>
              <w:top w:val="nil"/>
              <w:left w:val="nil"/>
              <w:bottom w:val="nil"/>
              <w:right w:val="nil"/>
            </w:tcBorders>
            <w:shd w:val="clear" w:color="auto" w:fill="auto"/>
            <w:noWrap/>
            <w:tcMar>
              <w:top w:w="12" w:type="dxa"/>
              <w:left w:w="12" w:type="dxa"/>
              <w:right w:w="12" w:type="dxa"/>
            </w:tcMar>
            <w:vAlign w:val="center"/>
          </w:tcPr>
          <w:p w14:paraId="5003D95E">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r>
              <w:rPr>
                <w:rFonts w:ascii="黑体" w:hAnsi="宋体" w:eastAsia="黑体" w:cs="黑体"/>
                <w:i w:val="0"/>
                <w:color w:val="000000"/>
                <w:kern w:val="0"/>
                <w:sz w:val="40"/>
                <w:szCs w:val="40"/>
                <w:u w:val="none"/>
                <w:lang w:val="en-US" w:eastAsia="zh-CN" w:bidi="ar"/>
              </w:rPr>
              <w:t xml:space="preserve"> </w:t>
            </w:r>
            <w:r>
              <w:rPr>
                <w:rFonts w:hint="eastAsia" w:ascii="黑体" w:hAnsi="宋体" w:eastAsia="黑体" w:cs="黑体"/>
                <w:i w:val="0"/>
                <w:color w:val="000000"/>
                <w:kern w:val="0"/>
                <w:sz w:val="40"/>
                <w:szCs w:val="40"/>
                <w:u w:val="single"/>
                <w:lang w:val="en-US" w:eastAsia="zh-CN" w:bidi="ar"/>
              </w:rPr>
              <w:t xml:space="preserve">                   </w:t>
            </w:r>
            <w:r>
              <w:rPr>
                <w:rFonts w:hint="eastAsia" w:ascii="黑体" w:hAnsi="宋体" w:eastAsia="黑体" w:cs="黑体"/>
                <w:i w:val="0"/>
                <w:color w:val="000000"/>
                <w:kern w:val="0"/>
                <w:sz w:val="36"/>
                <w:szCs w:val="36"/>
                <w:u w:val="none"/>
                <w:lang w:val="en-US" w:eastAsia="zh-CN" w:bidi="ar"/>
              </w:rPr>
              <w:t>科研项目</w:t>
            </w:r>
            <w:r>
              <w:rPr>
                <w:rFonts w:ascii="黑体" w:hAnsi="宋体" w:eastAsia="黑体" w:cs="黑体"/>
                <w:i w:val="0"/>
                <w:color w:val="000000"/>
                <w:kern w:val="0"/>
                <w:sz w:val="36"/>
                <w:szCs w:val="36"/>
                <w:u w:val="none"/>
                <w:lang w:val="en-US" w:eastAsia="zh-CN" w:bidi="ar"/>
              </w:rPr>
              <w:t>经费预算表</w:t>
            </w:r>
            <w:r>
              <w:rPr>
                <w:rFonts w:ascii="黑体" w:hAnsi="宋体" w:eastAsia="黑体" w:cs="黑体"/>
                <w:i w:val="0"/>
                <w:color w:val="000000"/>
                <w:kern w:val="0"/>
                <w:sz w:val="40"/>
                <w:szCs w:val="40"/>
                <w:u w:val="none"/>
                <w:lang w:val="en-US" w:eastAsia="zh-CN" w:bidi="ar"/>
              </w:rPr>
              <w:t xml:space="preserve"> </w:t>
            </w:r>
          </w:p>
        </w:tc>
      </w:tr>
    </w:tbl>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350"/>
        <w:gridCol w:w="2970"/>
        <w:gridCol w:w="1755"/>
        <w:gridCol w:w="1623"/>
        <w:gridCol w:w="4"/>
      </w:tblGrid>
      <w:tr w14:paraId="0C15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70" w:type="dxa"/>
            <w:gridSpan w:val="2"/>
            <w:vAlign w:val="top"/>
          </w:tcPr>
          <w:p w14:paraId="7E868B7B">
            <w:pPr>
              <w:keepNext w:val="0"/>
              <w:keepLines w:val="0"/>
              <w:widowControl/>
              <w:suppressLineNumbers w:val="0"/>
              <w:jc w:val="center"/>
              <w:rPr>
                <w:rFonts w:hint="eastAsia" w:asciiTheme="minorEastAsia" w:hAnsiTheme="minorEastAsia" w:eastAsiaTheme="minorEastAsia" w:cstheme="minorEastAsia"/>
                <w:color w:val="000000"/>
                <w:kern w:val="0"/>
                <w:sz w:val="28"/>
                <w:szCs w:val="28"/>
                <w:vertAlign w:val="baseline"/>
                <w:lang w:val="en-US" w:eastAsia="zh-CN" w:bidi="ar"/>
              </w:rPr>
            </w:pPr>
            <w:r>
              <w:rPr>
                <w:rFonts w:hint="eastAsia" w:asciiTheme="minorEastAsia" w:hAnsiTheme="minorEastAsia" w:eastAsiaTheme="minorEastAsia" w:cstheme="minorEastAsia"/>
                <w:color w:val="000000"/>
                <w:kern w:val="0"/>
                <w:sz w:val="28"/>
                <w:szCs w:val="28"/>
                <w:vertAlign w:val="baseline"/>
                <w:lang w:val="en-US" w:eastAsia="zh-CN" w:bidi="ar"/>
              </w:rPr>
              <w:t>项目分类</w:t>
            </w:r>
          </w:p>
        </w:tc>
        <w:tc>
          <w:tcPr>
            <w:tcW w:w="6352" w:type="dxa"/>
            <w:gridSpan w:val="4"/>
            <w:vAlign w:val="top"/>
          </w:tcPr>
          <w:p w14:paraId="7E8613F1">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r>
      <w:tr w14:paraId="762C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70" w:type="dxa"/>
            <w:gridSpan w:val="2"/>
            <w:vAlign w:val="top"/>
          </w:tcPr>
          <w:p w14:paraId="1C30A343">
            <w:pPr>
              <w:keepNext w:val="0"/>
              <w:keepLines w:val="0"/>
              <w:widowControl/>
              <w:suppressLineNumbers w:val="0"/>
              <w:jc w:val="center"/>
              <w:rPr>
                <w:rFonts w:hint="eastAsia" w:asciiTheme="minorEastAsia" w:hAnsiTheme="minorEastAsia" w:eastAsiaTheme="minorEastAsia" w:cstheme="minorEastAsia"/>
                <w:color w:val="000000"/>
                <w:kern w:val="0"/>
                <w:sz w:val="28"/>
                <w:szCs w:val="28"/>
                <w:vertAlign w:val="baseline"/>
                <w:lang w:val="en-US" w:eastAsia="zh-CN" w:bidi="ar"/>
              </w:rPr>
            </w:pPr>
            <w:r>
              <w:rPr>
                <w:rFonts w:hint="eastAsia" w:asciiTheme="minorEastAsia" w:hAnsiTheme="minorEastAsia" w:eastAsiaTheme="minorEastAsia" w:cstheme="minorEastAsia"/>
                <w:color w:val="000000"/>
                <w:kern w:val="0"/>
                <w:sz w:val="28"/>
                <w:szCs w:val="28"/>
                <w:vertAlign w:val="baseline"/>
                <w:lang w:val="en-US" w:eastAsia="zh-CN" w:bidi="ar"/>
              </w:rPr>
              <w:t>项目名称</w:t>
            </w:r>
          </w:p>
        </w:tc>
        <w:tc>
          <w:tcPr>
            <w:tcW w:w="6352" w:type="dxa"/>
            <w:gridSpan w:val="4"/>
            <w:vAlign w:val="top"/>
          </w:tcPr>
          <w:p w14:paraId="77EDF3E4">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r>
      <w:tr w14:paraId="4EE1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70" w:type="dxa"/>
            <w:gridSpan w:val="2"/>
            <w:vAlign w:val="top"/>
          </w:tcPr>
          <w:p w14:paraId="2F54B432">
            <w:pPr>
              <w:keepNext w:val="0"/>
              <w:keepLines w:val="0"/>
              <w:widowControl/>
              <w:suppressLineNumbers w:val="0"/>
              <w:jc w:val="center"/>
              <w:rPr>
                <w:rFonts w:hint="eastAsia" w:asciiTheme="minorEastAsia" w:hAnsiTheme="minorEastAsia" w:eastAsiaTheme="minorEastAsia" w:cstheme="minorEastAsia"/>
                <w:color w:val="000000"/>
                <w:kern w:val="0"/>
                <w:sz w:val="28"/>
                <w:szCs w:val="28"/>
                <w:vertAlign w:val="baseline"/>
                <w:lang w:val="en-US" w:eastAsia="zh-CN" w:bidi="ar"/>
              </w:rPr>
            </w:pPr>
            <w:r>
              <w:rPr>
                <w:rFonts w:hint="eastAsia" w:asciiTheme="minorEastAsia" w:hAnsiTheme="minorEastAsia" w:eastAsiaTheme="minorEastAsia" w:cstheme="minorEastAsia"/>
                <w:color w:val="000000"/>
                <w:kern w:val="0"/>
                <w:sz w:val="28"/>
                <w:szCs w:val="28"/>
                <w:vertAlign w:val="baseline"/>
                <w:lang w:val="en-US" w:eastAsia="zh-CN" w:bidi="ar"/>
              </w:rPr>
              <w:t>项目编号</w:t>
            </w:r>
          </w:p>
        </w:tc>
        <w:tc>
          <w:tcPr>
            <w:tcW w:w="2970" w:type="dxa"/>
            <w:vAlign w:val="top"/>
          </w:tcPr>
          <w:p w14:paraId="534C0A64">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755" w:type="dxa"/>
            <w:vAlign w:val="top"/>
          </w:tcPr>
          <w:p w14:paraId="209A65CB">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r>
              <w:rPr>
                <w:rFonts w:hint="eastAsia" w:asciiTheme="minorEastAsia" w:hAnsiTheme="minorEastAsia" w:eastAsiaTheme="minorEastAsia" w:cstheme="minorEastAsia"/>
                <w:color w:val="000000"/>
                <w:kern w:val="0"/>
                <w:sz w:val="28"/>
                <w:szCs w:val="28"/>
                <w:vertAlign w:val="baseline"/>
                <w:lang w:val="en-US" w:eastAsia="zh-CN" w:bidi="ar"/>
              </w:rPr>
              <w:t>项目负责人</w:t>
            </w:r>
          </w:p>
        </w:tc>
        <w:tc>
          <w:tcPr>
            <w:tcW w:w="1627" w:type="dxa"/>
            <w:gridSpan w:val="2"/>
            <w:vAlign w:val="top"/>
          </w:tcPr>
          <w:p w14:paraId="25562FAE">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r>
      <w:tr w14:paraId="1A3B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567" w:hRule="atLeast"/>
        </w:trPr>
        <w:tc>
          <w:tcPr>
            <w:tcW w:w="820" w:type="dxa"/>
            <w:vAlign w:val="center"/>
          </w:tcPr>
          <w:p w14:paraId="435E6CC0">
            <w:pPr>
              <w:keepNext w:val="0"/>
              <w:keepLines w:val="0"/>
              <w:widowControl/>
              <w:suppressLineNumbers w:val="0"/>
              <w:jc w:val="center"/>
              <w:rPr>
                <w:rFonts w:hint="eastAsia" w:asciiTheme="minorEastAsia" w:hAnsiTheme="minorEastAsia" w:eastAsiaTheme="minorEastAsia" w:cstheme="minorEastAsia"/>
                <w:color w:val="000000"/>
                <w:kern w:val="0"/>
                <w:sz w:val="28"/>
                <w:szCs w:val="28"/>
                <w:vertAlign w:val="baseline"/>
                <w:lang w:val="en-US" w:eastAsia="zh-CN" w:bidi="ar"/>
              </w:rPr>
            </w:pPr>
            <w:r>
              <w:rPr>
                <w:rFonts w:hint="eastAsia" w:asciiTheme="minorEastAsia" w:hAnsiTheme="minorEastAsia" w:eastAsiaTheme="minorEastAsia" w:cstheme="minorEastAsia"/>
                <w:color w:val="000000"/>
                <w:kern w:val="0"/>
                <w:sz w:val="28"/>
                <w:szCs w:val="28"/>
                <w:vertAlign w:val="baseline"/>
                <w:lang w:val="en-US" w:eastAsia="zh-CN" w:bidi="ar"/>
              </w:rPr>
              <w:t>序号</w:t>
            </w:r>
          </w:p>
        </w:tc>
        <w:tc>
          <w:tcPr>
            <w:tcW w:w="1350" w:type="dxa"/>
            <w:vAlign w:val="center"/>
          </w:tcPr>
          <w:p w14:paraId="345B31CA">
            <w:pPr>
              <w:keepNext w:val="0"/>
              <w:keepLines w:val="0"/>
              <w:pageBreakBefore w:val="0"/>
              <w:widowControl/>
              <w:suppressLineNumbers w:val="0"/>
              <w:tabs>
                <w:tab w:val="center" w:pos="627"/>
                <w:tab w:val="right" w:pos="1134"/>
              </w:tabs>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000000"/>
                <w:kern w:val="0"/>
                <w:sz w:val="28"/>
                <w:szCs w:val="28"/>
                <w:vertAlign w:val="baseline"/>
                <w:lang w:val="en-US" w:eastAsia="zh-CN" w:bidi="ar"/>
              </w:rPr>
            </w:pPr>
            <w:r>
              <w:rPr>
                <w:rFonts w:hint="eastAsia" w:asciiTheme="minorEastAsia" w:hAnsiTheme="minorEastAsia" w:eastAsiaTheme="minorEastAsia" w:cstheme="minorEastAsia"/>
                <w:color w:val="000000"/>
                <w:kern w:val="0"/>
                <w:sz w:val="28"/>
                <w:szCs w:val="28"/>
                <w:vertAlign w:val="baseline"/>
                <w:lang w:val="en-US" w:eastAsia="zh-CN" w:bidi="ar"/>
              </w:rPr>
              <w:t>科目</w:t>
            </w:r>
          </w:p>
          <w:p w14:paraId="4650EA3A">
            <w:pPr>
              <w:keepNext w:val="0"/>
              <w:keepLines w:val="0"/>
              <w:pageBreakBefore w:val="0"/>
              <w:widowControl/>
              <w:suppressLineNumbers w:val="0"/>
              <w:tabs>
                <w:tab w:val="center" w:pos="627"/>
                <w:tab w:val="right" w:pos="1134"/>
              </w:tabs>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000000"/>
                <w:kern w:val="0"/>
                <w:sz w:val="28"/>
                <w:szCs w:val="28"/>
                <w:vertAlign w:val="baseline"/>
                <w:lang w:val="en-US" w:eastAsia="zh-CN" w:bidi="ar"/>
              </w:rPr>
            </w:pPr>
            <w:r>
              <w:rPr>
                <w:rFonts w:hint="eastAsia" w:asciiTheme="minorEastAsia" w:hAnsiTheme="minorEastAsia" w:cstheme="minorEastAsia"/>
                <w:color w:val="000000"/>
                <w:kern w:val="0"/>
                <w:sz w:val="18"/>
                <w:szCs w:val="18"/>
                <w:vertAlign w:val="baseline"/>
                <w:lang w:val="en-US" w:eastAsia="zh-CN" w:bidi="ar"/>
              </w:rPr>
              <w:t>（详见背面）</w:t>
            </w:r>
          </w:p>
        </w:tc>
        <w:tc>
          <w:tcPr>
            <w:tcW w:w="4725" w:type="dxa"/>
            <w:gridSpan w:val="2"/>
            <w:vAlign w:val="center"/>
          </w:tcPr>
          <w:p w14:paraId="473D687B">
            <w:pPr>
              <w:keepNext w:val="0"/>
              <w:keepLines w:val="0"/>
              <w:widowControl/>
              <w:suppressLineNumbers w:val="0"/>
              <w:jc w:val="center"/>
              <w:rPr>
                <w:rFonts w:hint="eastAsia" w:asciiTheme="minorEastAsia" w:hAnsiTheme="minorEastAsia" w:eastAsiaTheme="minorEastAsia" w:cstheme="minorEastAsia"/>
                <w:color w:val="000000"/>
                <w:kern w:val="0"/>
                <w:sz w:val="28"/>
                <w:szCs w:val="28"/>
                <w:vertAlign w:val="baseline"/>
                <w:lang w:val="en-US" w:eastAsia="zh-CN" w:bidi="ar"/>
              </w:rPr>
            </w:pPr>
            <w:r>
              <w:rPr>
                <w:rFonts w:hint="eastAsia" w:asciiTheme="minorEastAsia" w:hAnsiTheme="minorEastAsia" w:eastAsiaTheme="minorEastAsia" w:cstheme="minorEastAsia"/>
                <w:color w:val="000000"/>
                <w:kern w:val="0"/>
                <w:sz w:val="28"/>
                <w:szCs w:val="28"/>
                <w:vertAlign w:val="baseline"/>
                <w:lang w:val="en-US" w:eastAsia="zh-CN" w:bidi="ar"/>
              </w:rPr>
              <w:t>支出依据</w:t>
            </w:r>
          </w:p>
        </w:tc>
        <w:tc>
          <w:tcPr>
            <w:tcW w:w="1623" w:type="dxa"/>
            <w:vAlign w:val="center"/>
          </w:tcPr>
          <w:p w14:paraId="65C30362">
            <w:pPr>
              <w:keepNext w:val="0"/>
              <w:keepLines w:val="0"/>
              <w:widowControl/>
              <w:suppressLineNumbers w:val="0"/>
              <w:jc w:val="center"/>
              <w:rPr>
                <w:rFonts w:hint="eastAsia" w:asciiTheme="minorEastAsia" w:hAnsiTheme="minorEastAsia" w:eastAsiaTheme="minorEastAsia" w:cstheme="minorEastAsia"/>
                <w:color w:val="000000"/>
                <w:kern w:val="0"/>
                <w:sz w:val="28"/>
                <w:szCs w:val="28"/>
                <w:vertAlign w:val="baseline"/>
                <w:lang w:val="en-US" w:eastAsia="zh-CN" w:bidi="ar"/>
              </w:rPr>
            </w:pPr>
            <w:r>
              <w:rPr>
                <w:rFonts w:hint="eastAsia" w:asciiTheme="minorEastAsia" w:hAnsiTheme="minorEastAsia" w:eastAsiaTheme="minorEastAsia" w:cstheme="minorEastAsia"/>
                <w:color w:val="000000"/>
                <w:kern w:val="0"/>
                <w:sz w:val="28"/>
                <w:szCs w:val="28"/>
                <w:vertAlign w:val="baseline"/>
                <w:lang w:val="en-US" w:eastAsia="zh-CN" w:bidi="ar"/>
              </w:rPr>
              <w:t>金额</w:t>
            </w:r>
          </w:p>
        </w:tc>
      </w:tr>
      <w:tr w14:paraId="3B7F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Align w:val="top"/>
          </w:tcPr>
          <w:p w14:paraId="58DB75B7">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350" w:type="dxa"/>
            <w:vAlign w:val="top"/>
          </w:tcPr>
          <w:p w14:paraId="2C1F81BE">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4725" w:type="dxa"/>
            <w:gridSpan w:val="2"/>
            <w:vAlign w:val="top"/>
          </w:tcPr>
          <w:p w14:paraId="613C7B5A">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627" w:type="dxa"/>
            <w:gridSpan w:val="2"/>
            <w:vAlign w:val="top"/>
          </w:tcPr>
          <w:p w14:paraId="556962F7">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r>
      <w:tr w14:paraId="22F1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Align w:val="top"/>
          </w:tcPr>
          <w:p w14:paraId="5E38797A">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350" w:type="dxa"/>
            <w:vAlign w:val="top"/>
          </w:tcPr>
          <w:p w14:paraId="4D640B8D">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4725" w:type="dxa"/>
            <w:gridSpan w:val="2"/>
            <w:vAlign w:val="top"/>
          </w:tcPr>
          <w:p w14:paraId="7D148E80">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627" w:type="dxa"/>
            <w:gridSpan w:val="2"/>
            <w:vAlign w:val="top"/>
          </w:tcPr>
          <w:p w14:paraId="4404C022">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r>
      <w:tr w14:paraId="7F92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Align w:val="top"/>
          </w:tcPr>
          <w:p w14:paraId="700B8241">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350" w:type="dxa"/>
            <w:vAlign w:val="top"/>
          </w:tcPr>
          <w:p w14:paraId="41C8CA5A">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4725" w:type="dxa"/>
            <w:gridSpan w:val="2"/>
            <w:vAlign w:val="top"/>
          </w:tcPr>
          <w:p w14:paraId="626735A6">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627" w:type="dxa"/>
            <w:gridSpan w:val="2"/>
            <w:vAlign w:val="top"/>
          </w:tcPr>
          <w:p w14:paraId="3AAFA788">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r>
      <w:tr w14:paraId="1FB4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Align w:val="top"/>
          </w:tcPr>
          <w:p w14:paraId="08D5D949">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350" w:type="dxa"/>
            <w:vAlign w:val="top"/>
          </w:tcPr>
          <w:p w14:paraId="4AE3BBAD">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4725" w:type="dxa"/>
            <w:gridSpan w:val="2"/>
            <w:vAlign w:val="top"/>
          </w:tcPr>
          <w:p w14:paraId="7B1679CE">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627" w:type="dxa"/>
            <w:gridSpan w:val="2"/>
            <w:vAlign w:val="top"/>
          </w:tcPr>
          <w:p w14:paraId="1BBAC3D8">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r>
      <w:tr w14:paraId="7C18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Align w:val="top"/>
          </w:tcPr>
          <w:p w14:paraId="1C7253E5">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350" w:type="dxa"/>
            <w:vAlign w:val="top"/>
          </w:tcPr>
          <w:p w14:paraId="1B11F0F3">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4725" w:type="dxa"/>
            <w:gridSpan w:val="2"/>
            <w:vAlign w:val="top"/>
          </w:tcPr>
          <w:p w14:paraId="194DEBE2">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627" w:type="dxa"/>
            <w:gridSpan w:val="2"/>
            <w:vAlign w:val="top"/>
          </w:tcPr>
          <w:p w14:paraId="774F544C">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r>
      <w:tr w14:paraId="2942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Align w:val="top"/>
          </w:tcPr>
          <w:p w14:paraId="42FE745F">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350" w:type="dxa"/>
            <w:vAlign w:val="top"/>
          </w:tcPr>
          <w:p w14:paraId="53287A52">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4725" w:type="dxa"/>
            <w:gridSpan w:val="2"/>
            <w:vAlign w:val="top"/>
          </w:tcPr>
          <w:p w14:paraId="44BFBC74">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627" w:type="dxa"/>
            <w:gridSpan w:val="2"/>
            <w:vAlign w:val="top"/>
          </w:tcPr>
          <w:p w14:paraId="6E31DB11">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r>
      <w:tr w14:paraId="7DC5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Align w:val="top"/>
          </w:tcPr>
          <w:p w14:paraId="2CECC25F">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350" w:type="dxa"/>
            <w:vAlign w:val="top"/>
          </w:tcPr>
          <w:p w14:paraId="1CE7C537">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4725" w:type="dxa"/>
            <w:gridSpan w:val="2"/>
            <w:vAlign w:val="top"/>
          </w:tcPr>
          <w:p w14:paraId="0F281F8A">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627" w:type="dxa"/>
            <w:gridSpan w:val="2"/>
            <w:vAlign w:val="top"/>
          </w:tcPr>
          <w:p w14:paraId="1CF046B3">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r>
      <w:tr w14:paraId="1B2F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Align w:val="top"/>
          </w:tcPr>
          <w:p w14:paraId="35052942">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350" w:type="dxa"/>
            <w:vAlign w:val="top"/>
          </w:tcPr>
          <w:p w14:paraId="36E4557D">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4725" w:type="dxa"/>
            <w:gridSpan w:val="2"/>
            <w:vAlign w:val="top"/>
          </w:tcPr>
          <w:p w14:paraId="03714975">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627" w:type="dxa"/>
            <w:gridSpan w:val="2"/>
            <w:vAlign w:val="top"/>
          </w:tcPr>
          <w:p w14:paraId="372B438C">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r>
      <w:tr w14:paraId="579A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Align w:val="top"/>
          </w:tcPr>
          <w:p w14:paraId="7DF74D06">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350" w:type="dxa"/>
            <w:vAlign w:val="top"/>
          </w:tcPr>
          <w:p w14:paraId="1C7CD747">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4725" w:type="dxa"/>
            <w:gridSpan w:val="2"/>
            <w:vAlign w:val="top"/>
          </w:tcPr>
          <w:p w14:paraId="78C76836">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627" w:type="dxa"/>
            <w:gridSpan w:val="2"/>
            <w:vAlign w:val="top"/>
          </w:tcPr>
          <w:p w14:paraId="1D951A63">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r>
      <w:tr w14:paraId="5F10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Align w:val="top"/>
          </w:tcPr>
          <w:p w14:paraId="1B78CBE1">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350" w:type="dxa"/>
            <w:vAlign w:val="top"/>
          </w:tcPr>
          <w:p w14:paraId="7E3EFA3A">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4725" w:type="dxa"/>
            <w:gridSpan w:val="2"/>
            <w:vAlign w:val="top"/>
          </w:tcPr>
          <w:p w14:paraId="6941753D">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627" w:type="dxa"/>
            <w:gridSpan w:val="2"/>
            <w:vAlign w:val="top"/>
          </w:tcPr>
          <w:p w14:paraId="25C49418">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r>
      <w:tr w14:paraId="155A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Align w:val="top"/>
          </w:tcPr>
          <w:p w14:paraId="59CC0F84">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350" w:type="dxa"/>
            <w:vAlign w:val="top"/>
          </w:tcPr>
          <w:p w14:paraId="74059D99">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4725" w:type="dxa"/>
            <w:gridSpan w:val="2"/>
            <w:vAlign w:val="top"/>
          </w:tcPr>
          <w:p w14:paraId="486B590A">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627" w:type="dxa"/>
            <w:gridSpan w:val="2"/>
            <w:vAlign w:val="top"/>
          </w:tcPr>
          <w:p w14:paraId="61CB70CD">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r>
      <w:tr w14:paraId="495B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Align w:val="top"/>
          </w:tcPr>
          <w:p w14:paraId="1909AAA3">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350" w:type="dxa"/>
            <w:vAlign w:val="top"/>
          </w:tcPr>
          <w:p w14:paraId="3DA44F49">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4725" w:type="dxa"/>
            <w:gridSpan w:val="2"/>
            <w:vAlign w:val="top"/>
          </w:tcPr>
          <w:p w14:paraId="4C30D089">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627" w:type="dxa"/>
            <w:gridSpan w:val="2"/>
            <w:vAlign w:val="top"/>
          </w:tcPr>
          <w:p w14:paraId="52D3633E">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r>
      <w:tr w14:paraId="70A8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Align w:val="top"/>
          </w:tcPr>
          <w:p w14:paraId="588DF53A">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350" w:type="dxa"/>
            <w:vAlign w:val="top"/>
          </w:tcPr>
          <w:p w14:paraId="1719DDAB">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4725" w:type="dxa"/>
            <w:gridSpan w:val="2"/>
            <w:vAlign w:val="top"/>
          </w:tcPr>
          <w:p w14:paraId="24EBE04D">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627" w:type="dxa"/>
            <w:gridSpan w:val="2"/>
            <w:vAlign w:val="top"/>
          </w:tcPr>
          <w:p w14:paraId="4BFD283E">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r>
      <w:tr w14:paraId="53AE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Align w:val="top"/>
          </w:tcPr>
          <w:p w14:paraId="2E1A674C">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350" w:type="dxa"/>
            <w:vAlign w:val="top"/>
          </w:tcPr>
          <w:p w14:paraId="549DDAE2">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4725" w:type="dxa"/>
            <w:gridSpan w:val="2"/>
            <w:vAlign w:val="top"/>
          </w:tcPr>
          <w:p w14:paraId="69F48735">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627" w:type="dxa"/>
            <w:gridSpan w:val="2"/>
            <w:vAlign w:val="top"/>
          </w:tcPr>
          <w:p w14:paraId="1063BCB2">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r>
      <w:tr w14:paraId="417A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Align w:val="top"/>
          </w:tcPr>
          <w:p w14:paraId="2583DEB5">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350" w:type="dxa"/>
            <w:vAlign w:val="top"/>
          </w:tcPr>
          <w:p w14:paraId="466201BA">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4725" w:type="dxa"/>
            <w:gridSpan w:val="2"/>
            <w:vAlign w:val="top"/>
          </w:tcPr>
          <w:p w14:paraId="5452C6CA">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c>
          <w:tcPr>
            <w:tcW w:w="1627" w:type="dxa"/>
            <w:gridSpan w:val="2"/>
            <w:vAlign w:val="top"/>
          </w:tcPr>
          <w:p w14:paraId="6FB32615">
            <w:pPr>
              <w:keepNext w:val="0"/>
              <w:keepLines w:val="0"/>
              <w:widowControl/>
              <w:suppressLineNumbers w:val="0"/>
              <w:jc w:val="left"/>
              <w:rPr>
                <w:rFonts w:hint="eastAsia" w:asciiTheme="minorEastAsia" w:hAnsiTheme="minorEastAsia" w:eastAsiaTheme="minorEastAsia" w:cstheme="minorEastAsia"/>
                <w:color w:val="000000"/>
                <w:kern w:val="0"/>
                <w:sz w:val="28"/>
                <w:szCs w:val="28"/>
                <w:vertAlign w:val="baseline"/>
                <w:lang w:val="en-US" w:eastAsia="zh-CN" w:bidi="ar"/>
              </w:rPr>
            </w:pPr>
          </w:p>
        </w:tc>
      </w:tr>
    </w:tbl>
    <w:p w14:paraId="67C74251">
      <w:pPr>
        <w:keepNext w:val="0"/>
        <w:keepLines w:val="0"/>
        <w:widowControl/>
        <w:suppressLineNumbers w:val="0"/>
        <w:ind w:firstLine="3920" w:firstLineChars="140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项目负责人（签字）：</w:t>
      </w:r>
    </w:p>
    <w:p w14:paraId="2D3FCB0E">
      <w:pPr>
        <w:keepNext w:val="0"/>
        <w:keepLines w:val="0"/>
        <w:widowControl/>
        <w:suppressLineNumbers w:val="0"/>
        <w:ind w:firstLine="3920" w:firstLineChars="140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科研处审核（签章）：</w:t>
      </w:r>
    </w:p>
    <w:p w14:paraId="2F177559">
      <w:pPr>
        <w:keepNext w:val="0"/>
        <w:keepLines w:val="0"/>
        <w:widowControl/>
        <w:suppressLineNumbers w:val="0"/>
        <w:ind w:firstLine="3920" w:firstLineChars="1400"/>
        <w:jc w:val="left"/>
        <w:rPr>
          <w:rFonts w:hint="eastAsia" w:asciiTheme="minorEastAsia" w:hAnsiTheme="minorEastAsia" w:eastAsiaTheme="minorEastAsia" w:cstheme="minorEastAsia"/>
          <w:color w:val="000000"/>
          <w:kern w:val="0"/>
          <w:sz w:val="28"/>
          <w:szCs w:val="28"/>
          <w:lang w:val="en-US" w:eastAsia="zh-CN" w:bidi="ar"/>
        </w:rPr>
        <w:sectPr>
          <w:pgSz w:w="11906" w:h="16838"/>
          <w:pgMar w:top="1361" w:right="1800" w:bottom="1417" w:left="1800" w:header="851" w:footer="992" w:gutter="0"/>
          <w:cols w:space="425" w:num="1"/>
          <w:docGrid w:type="lines" w:linePitch="312" w:charSpace="0"/>
        </w:sectPr>
      </w:pPr>
    </w:p>
    <w:p w14:paraId="7EA81BB1">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auto"/>
        <w:rPr>
          <w:rFonts w:hint="default" w:ascii="Times New Roman" w:hAnsi="Times New Roman" w:eastAsia="宋体" w:cs="仿宋_GB2312"/>
          <w:color w:val="000000"/>
          <w:kern w:val="0"/>
          <w:sz w:val="18"/>
          <w:szCs w:val="18"/>
          <w:lang w:val="en-US" w:eastAsia="zh-CN" w:bidi="ar"/>
        </w:rPr>
      </w:pPr>
      <w:r>
        <w:rPr>
          <w:rFonts w:hint="eastAsia" w:ascii="Times New Roman" w:hAnsi="Times New Roman" w:eastAsia="宋体" w:cs="仿宋_GB2312"/>
          <w:color w:val="000000"/>
          <w:kern w:val="0"/>
          <w:sz w:val="18"/>
          <w:szCs w:val="18"/>
          <w:lang w:val="en-US" w:eastAsia="zh-CN" w:bidi="ar"/>
        </w:rPr>
        <w:t>项目经费预算说明：</w:t>
      </w:r>
    </w:p>
    <w:p w14:paraId="352E0BF7">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auto"/>
        <w:rPr>
          <w:rFonts w:ascii="Times New Roman" w:hAnsi="Times New Roman" w:eastAsia="宋体" w:cs="仿宋_GB2312"/>
          <w:color w:val="000000"/>
          <w:kern w:val="0"/>
          <w:sz w:val="18"/>
          <w:szCs w:val="18"/>
          <w:lang w:val="en-US" w:eastAsia="zh-CN" w:bidi="ar"/>
        </w:rPr>
      </w:pPr>
      <w:r>
        <w:rPr>
          <w:rFonts w:ascii="Times New Roman" w:hAnsi="Times New Roman" w:eastAsia="宋体" w:cs="仿宋_GB2312"/>
          <w:color w:val="000000"/>
          <w:kern w:val="0"/>
          <w:sz w:val="18"/>
          <w:szCs w:val="18"/>
          <w:lang w:val="en-US" w:eastAsia="zh-CN" w:bidi="ar"/>
        </w:rPr>
        <w:t>1.自然科学研究直接费用支出范围主要包括以下内容：</w:t>
      </w:r>
    </w:p>
    <w:p w14:paraId="0A6C26D1">
      <w:pPr>
        <w:keepNext w:val="0"/>
        <w:keepLines w:val="0"/>
        <w:pageBreakBefore w:val="0"/>
        <w:widowControl/>
        <w:suppressLineNumbers w:val="0"/>
        <w:kinsoku/>
        <w:wordWrap/>
        <w:overflowPunct/>
        <w:topLinePunct w:val="0"/>
        <w:autoSpaceDE/>
        <w:autoSpaceDN/>
        <w:bidi w:val="0"/>
        <w:adjustRightInd/>
        <w:snapToGrid/>
        <w:spacing w:line="290" w:lineRule="exact"/>
        <w:ind w:firstLine="360" w:firstLineChars="200"/>
        <w:jc w:val="left"/>
        <w:textAlignment w:val="auto"/>
        <w:rPr>
          <w:rFonts w:ascii="Times New Roman" w:hAnsi="Times New Roman" w:eastAsia="宋体"/>
          <w:sz w:val="18"/>
          <w:szCs w:val="18"/>
        </w:rPr>
      </w:pPr>
      <w:r>
        <w:rPr>
          <w:rFonts w:ascii="Times New Roman" w:hAnsi="Times New Roman" w:eastAsia="宋体" w:cs="仿宋_GB2312"/>
          <w:color w:val="000000"/>
          <w:kern w:val="0"/>
          <w:sz w:val="18"/>
          <w:szCs w:val="18"/>
          <w:lang w:val="en-US" w:eastAsia="zh-CN" w:bidi="ar"/>
        </w:rPr>
        <w:t xml:space="preserve">（一）业务费：是指项目实施过程中消耗的各种材料、辅助材料等低值易耗品的采购、运输、装卸、整理等费用，发生的测试化验加工、燃料动力、出版/文献/信息传播/知识产权事务、会议/差旅/国际合作交流等费用，以及其他相关支出。 </w:t>
      </w:r>
    </w:p>
    <w:p w14:paraId="3ACAD42E">
      <w:pPr>
        <w:keepNext w:val="0"/>
        <w:keepLines w:val="0"/>
        <w:pageBreakBefore w:val="0"/>
        <w:widowControl/>
        <w:suppressLineNumbers w:val="0"/>
        <w:kinsoku/>
        <w:wordWrap/>
        <w:overflowPunct/>
        <w:topLinePunct w:val="0"/>
        <w:autoSpaceDE/>
        <w:autoSpaceDN/>
        <w:bidi w:val="0"/>
        <w:adjustRightInd/>
        <w:snapToGrid/>
        <w:spacing w:line="290" w:lineRule="exact"/>
        <w:ind w:firstLine="360" w:firstLineChars="200"/>
        <w:jc w:val="left"/>
        <w:textAlignment w:val="auto"/>
        <w:rPr>
          <w:rFonts w:ascii="Times New Roman" w:hAnsi="Times New Roman" w:eastAsia="宋体"/>
          <w:sz w:val="18"/>
          <w:szCs w:val="18"/>
        </w:rPr>
      </w:pPr>
      <w:r>
        <w:rPr>
          <w:rFonts w:ascii="Times New Roman" w:hAnsi="Times New Roman" w:eastAsia="宋体" w:cs="仿宋_GB2312"/>
          <w:color w:val="000000"/>
          <w:kern w:val="0"/>
          <w:sz w:val="18"/>
          <w:szCs w:val="18"/>
          <w:lang w:val="en-US" w:eastAsia="zh-CN" w:bidi="ar"/>
        </w:rPr>
        <w:t xml:space="preserve">（1）材料费：指在项目（课题）实施过程中使用或消耗的各种原材料、辅助材料、零配件等材料和低值耐用品资产的采购、运输、装卸及整理等费用。 </w:t>
      </w:r>
    </w:p>
    <w:p w14:paraId="37314ED0">
      <w:pPr>
        <w:keepNext w:val="0"/>
        <w:keepLines w:val="0"/>
        <w:pageBreakBefore w:val="0"/>
        <w:widowControl/>
        <w:suppressLineNumbers w:val="0"/>
        <w:kinsoku/>
        <w:wordWrap/>
        <w:overflowPunct/>
        <w:topLinePunct w:val="0"/>
        <w:autoSpaceDE/>
        <w:autoSpaceDN/>
        <w:bidi w:val="0"/>
        <w:adjustRightInd/>
        <w:snapToGrid/>
        <w:spacing w:line="290" w:lineRule="exact"/>
        <w:ind w:firstLine="360" w:firstLineChars="200"/>
        <w:jc w:val="left"/>
        <w:textAlignment w:val="auto"/>
        <w:rPr>
          <w:rFonts w:ascii="Times New Roman" w:hAnsi="Times New Roman" w:eastAsia="宋体"/>
          <w:sz w:val="18"/>
          <w:szCs w:val="18"/>
        </w:rPr>
      </w:pPr>
      <w:r>
        <w:rPr>
          <w:rFonts w:ascii="Times New Roman" w:hAnsi="Times New Roman" w:eastAsia="宋体" w:cs="仿宋_GB2312"/>
          <w:color w:val="000000"/>
          <w:kern w:val="0"/>
          <w:sz w:val="18"/>
          <w:szCs w:val="18"/>
          <w:lang w:val="en-US" w:eastAsia="zh-CN" w:bidi="ar"/>
        </w:rPr>
        <w:t xml:space="preserve">（2）测试化验加工费：指在项目（课题）实施过程中支付给外单位（包括校内独立经济核算单位）的检验、测试、设计、化验、加工及分析等费用。 </w:t>
      </w:r>
    </w:p>
    <w:p w14:paraId="1EDD0B39">
      <w:pPr>
        <w:keepNext w:val="0"/>
        <w:keepLines w:val="0"/>
        <w:pageBreakBefore w:val="0"/>
        <w:widowControl/>
        <w:suppressLineNumbers w:val="0"/>
        <w:kinsoku/>
        <w:wordWrap/>
        <w:overflowPunct/>
        <w:topLinePunct w:val="0"/>
        <w:autoSpaceDE/>
        <w:autoSpaceDN/>
        <w:bidi w:val="0"/>
        <w:adjustRightInd/>
        <w:snapToGrid/>
        <w:spacing w:line="290" w:lineRule="exact"/>
        <w:ind w:firstLine="360" w:firstLineChars="200"/>
        <w:jc w:val="left"/>
        <w:textAlignment w:val="auto"/>
        <w:rPr>
          <w:rFonts w:ascii="Times New Roman" w:hAnsi="Times New Roman" w:eastAsia="宋体"/>
          <w:sz w:val="18"/>
          <w:szCs w:val="18"/>
        </w:rPr>
      </w:pPr>
      <w:r>
        <w:rPr>
          <w:rFonts w:ascii="Times New Roman" w:hAnsi="Times New Roman" w:eastAsia="宋体" w:cs="仿宋_GB2312"/>
          <w:color w:val="000000"/>
          <w:kern w:val="0"/>
          <w:sz w:val="18"/>
          <w:szCs w:val="18"/>
          <w:lang w:val="en-US" w:eastAsia="zh-CN" w:bidi="ar"/>
        </w:rPr>
        <w:t xml:space="preserve">（3）数据采集费：指在项目（课题）研究过程中发生的调研、访谈、数据购买、数据分析及相应技术服务购买等费用。 </w:t>
      </w:r>
    </w:p>
    <w:p w14:paraId="7BD3A4EE">
      <w:pPr>
        <w:keepNext w:val="0"/>
        <w:keepLines w:val="0"/>
        <w:pageBreakBefore w:val="0"/>
        <w:widowControl/>
        <w:suppressLineNumbers w:val="0"/>
        <w:kinsoku/>
        <w:wordWrap/>
        <w:overflowPunct/>
        <w:topLinePunct w:val="0"/>
        <w:autoSpaceDE/>
        <w:autoSpaceDN/>
        <w:bidi w:val="0"/>
        <w:adjustRightInd/>
        <w:snapToGrid/>
        <w:spacing w:line="290" w:lineRule="exact"/>
        <w:ind w:firstLine="360" w:firstLineChars="200"/>
        <w:jc w:val="left"/>
        <w:textAlignment w:val="auto"/>
        <w:rPr>
          <w:rFonts w:ascii="Times New Roman" w:hAnsi="Times New Roman" w:eastAsia="宋体"/>
          <w:sz w:val="18"/>
          <w:szCs w:val="18"/>
        </w:rPr>
      </w:pPr>
      <w:r>
        <w:rPr>
          <w:rFonts w:ascii="Times New Roman" w:hAnsi="Times New Roman" w:eastAsia="宋体" w:cs="仿宋_GB2312"/>
          <w:color w:val="000000"/>
          <w:kern w:val="0"/>
          <w:sz w:val="18"/>
          <w:szCs w:val="18"/>
          <w:lang w:val="en-US" w:eastAsia="zh-CN" w:bidi="ar"/>
        </w:rPr>
        <w:t xml:space="preserve">（4）燃料动力费：指在项目（课题）实施过程中直接使用的相关仪器设备、科学装置等运行发生的水、电、气、燃料消耗费用等。 </w:t>
      </w:r>
    </w:p>
    <w:p w14:paraId="4C3F6409">
      <w:pPr>
        <w:keepNext w:val="0"/>
        <w:keepLines w:val="0"/>
        <w:pageBreakBefore w:val="0"/>
        <w:widowControl/>
        <w:suppressLineNumbers w:val="0"/>
        <w:kinsoku/>
        <w:wordWrap/>
        <w:overflowPunct/>
        <w:topLinePunct w:val="0"/>
        <w:autoSpaceDE/>
        <w:autoSpaceDN/>
        <w:bidi w:val="0"/>
        <w:adjustRightInd/>
        <w:snapToGrid/>
        <w:spacing w:line="290" w:lineRule="exact"/>
        <w:ind w:firstLine="360" w:firstLineChars="200"/>
        <w:jc w:val="left"/>
        <w:textAlignment w:val="auto"/>
        <w:rPr>
          <w:rFonts w:ascii="Times New Roman" w:hAnsi="Times New Roman" w:eastAsia="宋体"/>
          <w:sz w:val="18"/>
          <w:szCs w:val="18"/>
        </w:rPr>
      </w:pPr>
      <w:r>
        <w:rPr>
          <w:rFonts w:ascii="Times New Roman" w:hAnsi="Times New Roman" w:eastAsia="宋体" w:cs="仿宋_GB2312"/>
          <w:color w:val="000000"/>
          <w:kern w:val="0"/>
          <w:sz w:val="18"/>
          <w:szCs w:val="18"/>
          <w:lang w:val="en-US" w:eastAsia="zh-CN" w:bidi="ar"/>
        </w:rPr>
        <w:t>（5）出版/文献/信息传播/知识产权事务费：指在项目（课题）实施过程中，需要支付的出版费、资料费、专用软件购买费、文献检索费、专业通信费、专利申请及其他知识产权事务等费用。</w:t>
      </w:r>
    </w:p>
    <w:p w14:paraId="215123B2">
      <w:pPr>
        <w:keepNext w:val="0"/>
        <w:keepLines w:val="0"/>
        <w:pageBreakBefore w:val="0"/>
        <w:widowControl/>
        <w:suppressLineNumbers w:val="0"/>
        <w:kinsoku/>
        <w:wordWrap/>
        <w:overflowPunct/>
        <w:topLinePunct w:val="0"/>
        <w:autoSpaceDE/>
        <w:autoSpaceDN/>
        <w:bidi w:val="0"/>
        <w:adjustRightInd/>
        <w:snapToGrid/>
        <w:spacing w:line="290" w:lineRule="exact"/>
        <w:ind w:firstLine="360" w:firstLineChars="200"/>
        <w:jc w:val="left"/>
        <w:textAlignment w:val="auto"/>
        <w:rPr>
          <w:rFonts w:ascii="Times New Roman" w:hAnsi="Times New Roman" w:eastAsia="宋体"/>
          <w:sz w:val="18"/>
          <w:szCs w:val="18"/>
        </w:rPr>
      </w:pPr>
      <w:r>
        <w:rPr>
          <w:rFonts w:ascii="Times New Roman" w:hAnsi="Times New Roman" w:eastAsia="宋体" w:cs="仿宋_GB2312"/>
          <w:color w:val="000000"/>
          <w:kern w:val="0"/>
          <w:sz w:val="18"/>
          <w:szCs w:val="18"/>
          <w:lang w:val="en-US" w:eastAsia="zh-CN" w:bidi="ar"/>
        </w:rPr>
        <w:t xml:space="preserve">（6）印刷出版费：指在项目（课题）研究过程中支付的打印费、印刷费及阶段性成果出版费等。 </w:t>
      </w:r>
    </w:p>
    <w:p w14:paraId="499DC2F9">
      <w:pPr>
        <w:keepNext w:val="0"/>
        <w:keepLines w:val="0"/>
        <w:pageBreakBefore w:val="0"/>
        <w:widowControl/>
        <w:suppressLineNumbers w:val="0"/>
        <w:kinsoku/>
        <w:wordWrap/>
        <w:overflowPunct/>
        <w:topLinePunct w:val="0"/>
        <w:autoSpaceDE/>
        <w:autoSpaceDN/>
        <w:bidi w:val="0"/>
        <w:adjustRightInd/>
        <w:snapToGrid/>
        <w:spacing w:line="290" w:lineRule="exact"/>
        <w:ind w:firstLine="360" w:firstLineChars="200"/>
        <w:jc w:val="left"/>
        <w:textAlignment w:val="auto"/>
        <w:rPr>
          <w:rFonts w:ascii="Times New Roman" w:hAnsi="Times New Roman" w:eastAsia="宋体"/>
          <w:sz w:val="18"/>
          <w:szCs w:val="18"/>
        </w:rPr>
      </w:pPr>
      <w:r>
        <w:rPr>
          <w:rFonts w:ascii="Times New Roman" w:hAnsi="Times New Roman" w:eastAsia="宋体" w:cs="仿宋_GB2312"/>
          <w:color w:val="000000"/>
          <w:kern w:val="0"/>
          <w:sz w:val="18"/>
          <w:szCs w:val="18"/>
          <w:lang w:val="en-US" w:eastAsia="zh-CN" w:bidi="ar"/>
        </w:rPr>
        <w:t xml:space="preserve">（7）会议/差旅/国际合作交流费：指在项目（课题）实施过程中发生的会议费、差旅费和国际合作交流费。会议费指在项目（课题）实施过程中为组织开展相关咨询以及协调任务等活动而发生的会议费用。差旅费指在项目（课题）实施过程中开支科学实验（试验）、科学考察、业务调研、学术交流等所发生的外埠差旅费、市内交通费用等。国际合作与交流费指在项目（课题）实施过程中相关人员出国（境）、外国专家来华及港澳台专家来内地（大陆）工作而发生的费用。 </w:t>
      </w:r>
    </w:p>
    <w:p w14:paraId="3DED1579">
      <w:pPr>
        <w:keepNext w:val="0"/>
        <w:keepLines w:val="0"/>
        <w:pageBreakBefore w:val="0"/>
        <w:widowControl/>
        <w:suppressLineNumbers w:val="0"/>
        <w:kinsoku/>
        <w:wordWrap/>
        <w:overflowPunct/>
        <w:topLinePunct w:val="0"/>
        <w:autoSpaceDE/>
        <w:autoSpaceDN/>
        <w:bidi w:val="0"/>
        <w:adjustRightInd/>
        <w:snapToGrid/>
        <w:spacing w:line="290" w:lineRule="exact"/>
        <w:ind w:firstLine="360" w:firstLineChars="200"/>
        <w:jc w:val="left"/>
        <w:textAlignment w:val="auto"/>
        <w:rPr>
          <w:rFonts w:ascii="Times New Roman" w:hAnsi="Times New Roman" w:eastAsia="宋体"/>
          <w:sz w:val="18"/>
          <w:szCs w:val="18"/>
        </w:rPr>
      </w:pPr>
      <w:r>
        <w:rPr>
          <w:rFonts w:ascii="Times New Roman" w:hAnsi="Times New Roman" w:eastAsia="宋体" w:cs="仿宋_GB2312"/>
          <w:color w:val="000000"/>
          <w:kern w:val="0"/>
          <w:sz w:val="18"/>
          <w:szCs w:val="18"/>
          <w:lang w:val="en-US" w:eastAsia="zh-CN" w:bidi="ar"/>
        </w:rPr>
        <w:t xml:space="preserve">（8）实验室改装费：指直接为科研项目（课题）研究开发所发生的实验室改装费用。 </w:t>
      </w:r>
    </w:p>
    <w:p w14:paraId="5130EF6E">
      <w:pPr>
        <w:keepNext w:val="0"/>
        <w:keepLines w:val="0"/>
        <w:pageBreakBefore w:val="0"/>
        <w:widowControl/>
        <w:suppressLineNumbers w:val="0"/>
        <w:kinsoku/>
        <w:wordWrap/>
        <w:overflowPunct/>
        <w:topLinePunct w:val="0"/>
        <w:autoSpaceDE/>
        <w:autoSpaceDN/>
        <w:bidi w:val="0"/>
        <w:adjustRightInd/>
        <w:snapToGrid/>
        <w:spacing w:line="290" w:lineRule="exact"/>
        <w:ind w:firstLine="360" w:firstLineChars="200"/>
        <w:jc w:val="left"/>
        <w:textAlignment w:val="auto"/>
        <w:rPr>
          <w:rFonts w:ascii="Times New Roman" w:hAnsi="Times New Roman" w:eastAsia="宋体"/>
          <w:sz w:val="18"/>
          <w:szCs w:val="18"/>
        </w:rPr>
      </w:pPr>
      <w:r>
        <w:rPr>
          <w:rFonts w:ascii="Times New Roman" w:hAnsi="Times New Roman" w:eastAsia="宋体" w:cs="仿宋_GB2312"/>
          <w:color w:val="000000"/>
          <w:kern w:val="0"/>
          <w:sz w:val="18"/>
          <w:szCs w:val="18"/>
          <w:lang w:val="en-US" w:eastAsia="zh-CN" w:bidi="ar"/>
        </w:rPr>
        <w:t xml:space="preserve">（9）合作与协作费：指在项目（课题）研究开发过程中根据合同约定用于合作单位承担项目任务的经费或协作单位承担项目部分、单一研究试验工作的经费。 </w:t>
      </w:r>
    </w:p>
    <w:p w14:paraId="0C502F38">
      <w:pPr>
        <w:keepNext w:val="0"/>
        <w:keepLines w:val="0"/>
        <w:pageBreakBefore w:val="0"/>
        <w:widowControl/>
        <w:suppressLineNumbers w:val="0"/>
        <w:kinsoku/>
        <w:wordWrap/>
        <w:overflowPunct/>
        <w:topLinePunct w:val="0"/>
        <w:autoSpaceDE/>
        <w:autoSpaceDN/>
        <w:bidi w:val="0"/>
        <w:adjustRightInd/>
        <w:snapToGrid/>
        <w:spacing w:line="290" w:lineRule="exact"/>
        <w:ind w:firstLine="360" w:firstLineChars="200"/>
        <w:jc w:val="left"/>
        <w:textAlignment w:val="auto"/>
        <w:rPr>
          <w:rFonts w:ascii="Times New Roman" w:hAnsi="Times New Roman" w:eastAsia="宋体"/>
          <w:sz w:val="18"/>
          <w:szCs w:val="18"/>
        </w:rPr>
      </w:pPr>
      <w:r>
        <w:rPr>
          <w:rFonts w:ascii="Times New Roman" w:hAnsi="Times New Roman" w:eastAsia="宋体" w:cs="仿宋_GB2312"/>
          <w:color w:val="000000"/>
          <w:kern w:val="0"/>
          <w:sz w:val="18"/>
          <w:szCs w:val="18"/>
          <w:lang w:val="en-US" w:eastAsia="zh-CN" w:bidi="ar"/>
        </w:rPr>
        <w:t xml:space="preserve">（10）技术与国际交流费：指在横向科研项目研究过程中发生的按标准支付的业务招待、工作餐费等费用。技术交流费实行预算指标限额控制，按不超过科研到款的 10%凭票据实报销，项目合同对其预算有明确约定的，按合同约定执行。 </w:t>
      </w:r>
    </w:p>
    <w:p w14:paraId="03AF0FC7">
      <w:pPr>
        <w:keepNext w:val="0"/>
        <w:keepLines w:val="0"/>
        <w:pageBreakBefore w:val="0"/>
        <w:widowControl/>
        <w:suppressLineNumbers w:val="0"/>
        <w:kinsoku/>
        <w:wordWrap/>
        <w:overflowPunct/>
        <w:topLinePunct w:val="0"/>
        <w:autoSpaceDE/>
        <w:autoSpaceDN/>
        <w:bidi w:val="0"/>
        <w:adjustRightInd/>
        <w:snapToGrid/>
        <w:spacing w:line="290" w:lineRule="exact"/>
        <w:ind w:firstLine="360" w:firstLineChars="200"/>
        <w:jc w:val="left"/>
        <w:textAlignment w:val="auto"/>
        <w:rPr>
          <w:rFonts w:ascii="Times New Roman" w:hAnsi="Times New Roman" w:eastAsia="宋体"/>
          <w:sz w:val="18"/>
          <w:szCs w:val="18"/>
        </w:rPr>
      </w:pPr>
      <w:r>
        <w:rPr>
          <w:rFonts w:ascii="Times New Roman" w:hAnsi="Times New Roman" w:eastAsia="宋体" w:cs="仿宋_GB2312"/>
          <w:color w:val="000000"/>
          <w:kern w:val="0"/>
          <w:sz w:val="18"/>
          <w:szCs w:val="18"/>
          <w:lang w:val="en-US" w:eastAsia="zh-CN" w:bidi="ar"/>
        </w:rPr>
        <w:t>（二）设备费：指项目（课题）实施过程中购置或试制专用仪器设备（含合同约定归项目（课题）委托方所有的设备），对现有仪器设备进行升级改造，以及租赁使用外单位仪器设备而发生的费用。设备购置严格控制，鼓励开放共享、自主研制、租赁专用仪器设备以及对现有仪器设备进行升级改造，避免重复购置。</w:t>
      </w:r>
    </w:p>
    <w:p w14:paraId="7679DACD">
      <w:pPr>
        <w:keepNext w:val="0"/>
        <w:keepLines w:val="0"/>
        <w:pageBreakBefore w:val="0"/>
        <w:widowControl/>
        <w:numPr>
          <w:ilvl w:val="0"/>
          <w:numId w:val="1"/>
        </w:numPr>
        <w:suppressLineNumbers w:val="0"/>
        <w:kinsoku/>
        <w:wordWrap/>
        <w:overflowPunct/>
        <w:topLinePunct w:val="0"/>
        <w:autoSpaceDE/>
        <w:autoSpaceDN/>
        <w:bidi w:val="0"/>
        <w:adjustRightInd/>
        <w:snapToGrid/>
        <w:spacing w:line="290" w:lineRule="exact"/>
        <w:ind w:firstLine="360" w:firstLineChars="200"/>
        <w:jc w:val="left"/>
        <w:textAlignment w:val="auto"/>
        <w:rPr>
          <w:rFonts w:ascii="Times New Roman" w:hAnsi="Times New Roman" w:eastAsia="宋体"/>
          <w:sz w:val="18"/>
          <w:szCs w:val="18"/>
        </w:rPr>
      </w:pPr>
      <w:r>
        <w:rPr>
          <w:rFonts w:ascii="Times New Roman" w:hAnsi="Times New Roman" w:eastAsia="宋体" w:cs="仿宋_GB2312"/>
          <w:color w:val="000000"/>
          <w:kern w:val="0"/>
          <w:sz w:val="18"/>
          <w:szCs w:val="18"/>
          <w:lang w:val="en-US" w:eastAsia="zh-CN" w:bidi="ar"/>
        </w:rPr>
        <w:t xml:space="preserve">专家咨询费：指在项目（课题）实施过程中支付给临时聘请专家的咨询费用。专家咨询费不得支付给参与本项目及所属课题研究和管理的相关工作人员。专家咨询费的开支标准按照国家相关规定执行。 </w:t>
      </w:r>
    </w:p>
    <w:p w14:paraId="298618B5">
      <w:pPr>
        <w:keepNext w:val="0"/>
        <w:keepLines w:val="0"/>
        <w:pageBreakBefore w:val="0"/>
        <w:widowControl/>
        <w:suppressLineNumbers w:val="0"/>
        <w:kinsoku/>
        <w:wordWrap/>
        <w:overflowPunct/>
        <w:topLinePunct w:val="0"/>
        <w:autoSpaceDE/>
        <w:autoSpaceDN/>
        <w:bidi w:val="0"/>
        <w:adjustRightInd/>
        <w:snapToGrid/>
        <w:spacing w:line="290" w:lineRule="exact"/>
        <w:ind w:firstLine="360" w:firstLineChars="200"/>
        <w:jc w:val="left"/>
        <w:textAlignment w:val="auto"/>
        <w:rPr>
          <w:rFonts w:ascii="Times New Roman" w:hAnsi="Times New Roman" w:eastAsia="宋体"/>
          <w:sz w:val="18"/>
          <w:szCs w:val="18"/>
        </w:rPr>
      </w:pPr>
      <w:r>
        <w:rPr>
          <w:rFonts w:ascii="Times New Roman" w:hAnsi="Times New Roman" w:eastAsia="宋体" w:cs="仿宋_GB2312"/>
          <w:color w:val="000000"/>
          <w:kern w:val="0"/>
          <w:sz w:val="18"/>
          <w:szCs w:val="18"/>
          <w:lang w:val="en-US" w:eastAsia="zh-CN" w:bidi="ar"/>
        </w:rPr>
        <w:t>（四）其他支出：指在项目（课题）实施过程中除上述支出范围之外的其他相关支出。其他支出按照批复的预算内容执行。</w:t>
      </w:r>
    </w:p>
    <w:p w14:paraId="57D0EDDB">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auto"/>
        <w:rPr>
          <w:rFonts w:ascii="Times New Roman" w:hAnsi="Times New Roman" w:eastAsia="宋体"/>
          <w:sz w:val="18"/>
          <w:szCs w:val="18"/>
        </w:rPr>
      </w:pPr>
      <w:r>
        <w:rPr>
          <w:rFonts w:ascii="Times New Roman" w:hAnsi="Times New Roman" w:eastAsia="宋体" w:cs="仿宋_GB2312"/>
          <w:color w:val="000000"/>
          <w:kern w:val="0"/>
          <w:sz w:val="18"/>
          <w:szCs w:val="18"/>
          <w:lang w:val="en-US" w:eastAsia="zh-CN" w:bidi="ar"/>
        </w:rPr>
        <w:t xml:space="preserve">2.人文社科研究直接费用支出范围主要包括以下内容： </w:t>
      </w:r>
    </w:p>
    <w:p w14:paraId="30DC653A">
      <w:pPr>
        <w:keepNext w:val="0"/>
        <w:keepLines w:val="0"/>
        <w:pageBreakBefore w:val="0"/>
        <w:widowControl/>
        <w:suppressLineNumbers w:val="0"/>
        <w:kinsoku/>
        <w:wordWrap/>
        <w:overflowPunct/>
        <w:topLinePunct w:val="0"/>
        <w:autoSpaceDE/>
        <w:autoSpaceDN/>
        <w:bidi w:val="0"/>
        <w:adjustRightInd/>
        <w:snapToGrid/>
        <w:spacing w:line="290" w:lineRule="exact"/>
        <w:ind w:firstLine="360" w:firstLineChars="200"/>
        <w:jc w:val="left"/>
        <w:textAlignment w:val="auto"/>
        <w:rPr>
          <w:rFonts w:ascii="Times New Roman" w:hAnsi="Times New Roman" w:eastAsia="宋体"/>
          <w:sz w:val="18"/>
          <w:szCs w:val="18"/>
        </w:rPr>
      </w:pPr>
      <w:r>
        <w:rPr>
          <w:rFonts w:ascii="Times New Roman" w:hAnsi="Times New Roman" w:eastAsia="宋体" w:cs="仿宋_GB2312"/>
          <w:color w:val="000000"/>
          <w:kern w:val="0"/>
          <w:sz w:val="18"/>
          <w:szCs w:val="18"/>
          <w:lang w:val="en-US" w:eastAsia="zh-CN" w:bidi="ar"/>
        </w:rPr>
        <w:t xml:space="preserve">（一）业务费： </w:t>
      </w:r>
    </w:p>
    <w:p w14:paraId="5BB90E34">
      <w:pPr>
        <w:keepNext w:val="0"/>
        <w:keepLines w:val="0"/>
        <w:pageBreakBefore w:val="0"/>
        <w:widowControl/>
        <w:suppressLineNumbers w:val="0"/>
        <w:kinsoku/>
        <w:wordWrap/>
        <w:overflowPunct/>
        <w:topLinePunct w:val="0"/>
        <w:autoSpaceDE/>
        <w:autoSpaceDN/>
        <w:bidi w:val="0"/>
        <w:adjustRightInd/>
        <w:snapToGrid/>
        <w:spacing w:line="290" w:lineRule="exact"/>
        <w:ind w:firstLine="360" w:firstLineChars="200"/>
        <w:jc w:val="left"/>
        <w:textAlignment w:val="auto"/>
        <w:rPr>
          <w:rFonts w:ascii="Times New Roman" w:hAnsi="Times New Roman" w:eastAsia="宋体"/>
          <w:sz w:val="18"/>
          <w:szCs w:val="18"/>
        </w:rPr>
      </w:pPr>
      <w:r>
        <w:rPr>
          <w:rFonts w:ascii="Times New Roman" w:hAnsi="Times New Roman" w:eastAsia="宋体" w:cs="仿宋_GB2312"/>
          <w:color w:val="000000"/>
          <w:kern w:val="0"/>
          <w:sz w:val="18"/>
          <w:szCs w:val="18"/>
          <w:lang w:val="en-US" w:eastAsia="zh-CN" w:bidi="ar"/>
        </w:rPr>
        <w:t xml:space="preserve">（1）资料费：指在项目研究过程中需要支付的图书（包括外文图书）购置费，资料收集、整理、复印、翻拍、翻译费，专用软件购买费，文献检索费等。 </w:t>
      </w:r>
    </w:p>
    <w:p w14:paraId="72A3601C">
      <w:pPr>
        <w:keepNext w:val="0"/>
        <w:keepLines w:val="0"/>
        <w:pageBreakBefore w:val="0"/>
        <w:widowControl/>
        <w:suppressLineNumbers w:val="0"/>
        <w:kinsoku/>
        <w:wordWrap/>
        <w:overflowPunct/>
        <w:topLinePunct w:val="0"/>
        <w:autoSpaceDE/>
        <w:autoSpaceDN/>
        <w:bidi w:val="0"/>
        <w:adjustRightInd/>
        <w:snapToGrid/>
        <w:spacing w:line="290" w:lineRule="exact"/>
        <w:ind w:firstLine="360" w:firstLineChars="200"/>
        <w:jc w:val="left"/>
        <w:textAlignment w:val="auto"/>
        <w:rPr>
          <w:rFonts w:ascii="Times New Roman" w:hAnsi="Times New Roman" w:eastAsia="宋体"/>
          <w:sz w:val="18"/>
          <w:szCs w:val="18"/>
        </w:rPr>
      </w:pPr>
      <w:r>
        <w:rPr>
          <w:rFonts w:ascii="Times New Roman" w:hAnsi="Times New Roman" w:eastAsia="宋体" w:cs="仿宋_GB2312"/>
          <w:color w:val="000000"/>
          <w:kern w:val="0"/>
          <w:sz w:val="18"/>
          <w:szCs w:val="18"/>
          <w:lang w:val="en-US" w:eastAsia="zh-CN" w:bidi="ar"/>
        </w:rPr>
        <w:t xml:space="preserve">（2）数据采集费：指在项目研究过程中发生的调查、访谈、数据购买、数据分析及相应技术服务购买等支出的费用。 </w:t>
      </w:r>
    </w:p>
    <w:p w14:paraId="53129A8C">
      <w:pPr>
        <w:keepNext w:val="0"/>
        <w:keepLines w:val="0"/>
        <w:pageBreakBefore w:val="0"/>
        <w:widowControl/>
        <w:suppressLineNumbers w:val="0"/>
        <w:kinsoku/>
        <w:wordWrap/>
        <w:overflowPunct/>
        <w:topLinePunct w:val="0"/>
        <w:autoSpaceDE/>
        <w:autoSpaceDN/>
        <w:bidi w:val="0"/>
        <w:adjustRightInd/>
        <w:snapToGrid/>
        <w:spacing w:line="290" w:lineRule="exact"/>
        <w:ind w:firstLine="360" w:firstLineChars="200"/>
        <w:jc w:val="left"/>
        <w:textAlignment w:val="auto"/>
        <w:rPr>
          <w:rFonts w:ascii="Times New Roman" w:hAnsi="Times New Roman" w:eastAsia="宋体"/>
          <w:sz w:val="18"/>
          <w:szCs w:val="18"/>
        </w:rPr>
      </w:pPr>
      <w:r>
        <w:rPr>
          <w:rFonts w:ascii="Times New Roman" w:hAnsi="Times New Roman" w:eastAsia="宋体" w:cs="仿宋_GB2312"/>
          <w:color w:val="000000"/>
          <w:kern w:val="0"/>
          <w:sz w:val="18"/>
          <w:szCs w:val="18"/>
          <w:lang w:val="en-US" w:eastAsia="zh-CN" w:bidi="ar"/>
        </w:rPr>
        <w:t xml:space="preserve">（3）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 10%的，不需要提供预算测算依据。 </w:t>
      </w:r>
    </w:p>
    <w:p w14:paraId="0A391A14">
      <w:pPr>
        <w:keepNext w:val="0"/>
        <w:keepLines w:val="0"/>
        <w:pageBreakBefore w:val="0"/>
        <w:widowControl/>
        <w:suppressLineNumbers w:val="0"/>
        <w:kinsoku/>
        <w:wordWrap/>
        <w:overflowPunct/>
        <w:topLinePunct w:val="0"/>
        <w:autoSpaceDE/>
        <w:autoSpaceDN/>
        <w:bidi w:val="0"/>
        <w:adjustRightInd/>
        <w:snapToGrid/>
        <w:spacing w:line="290" w:lineRule="exact"/>
        <w:ind w:firstLine="360" w:firstLineChars="200"/>
        <w:jc w:val="left"/>
        <w:textAlignment w:val="auto"/>
        <w:rPr>
          <w:rFonts w:ascii="Times New Roman" w:hAnsi="Times New Roman" w:eastAsia="宋体"/>
          <w:sz w:val="18"/>
          <w:szCs w:val="18"/>
        </w:rPr>
      </w:pPr>
      <w:r>
        <w:rPr>
          <w:rFonts w:ascii="Times New Roman" w:hAnsi="Times New Roman" w:eastAsia="宋体" w:cs="仿宋_GB2312"/>
          <w:color w:val="000000"/>
          <w:kern w:val="0"/>
          <w:sz w:val="18"/>
          <w:szCs w:val="18"/>
          <w:lang w:val="en-US" w:eastAsia="zh-CN" w:bidi="ar"/>
        </w:rPr>
        <w:t xml:space="preserve">（4）印刷出版费：指在项目研究过程中支付的打印费、印刷费及阶段性成果出版费等。 </w:t>
      </w:r>
    </w:p>
    <w:p w14:paraId="4FF414BA">
      <w:pPr>
        <w:keepNext w:val="0"/>
        <w:keepLines w:val="0"/>
        <w:pageBreakBefore w:val="0"/>
        <w:widowControl/>
        <w:suppressLineNumbers w:val="0"/>
        <w:kinsoku/>
        <w:wordWrap/>
        <w:overflowPunct/>
        <w:topLinePunct w:val="0"/>
        <w:autoSpaceDE/>
        <w:autoSpaceDN/>
        <w:bidi w:val="0"/>
        <w:adjustRightInd/>
        <w:snapToGrid/>
        <w:spacing w:line="290" w:lineRule="exact"/>
        <w:ind w:firstLine="360" w:firstLineChars="200"/>
        <w:jc w:val="left"/>
        <w:textAlignment w:val="auto"/>
        <w:rPr>
          <w:rFonts w:ascii="Times New Roman" w:hAnsi="Times New Roman" w:eastAsia="宋体"/>
          <w:sz w:val="18"/>
          <w:szCs w:val="18"/>
        </w:rPr>
      </w:pPr>
      <w:r>
        <w:rPr>
          <w:rFonts w:ascii="Times New Roman" w:hAnsi="Times New Roman" w:eastAsia="宋体" w:cs="仿宋_GB2312"/>
          <w:color w:val="000000"/>
          <w:kern w:val="0"/>
          <w:sz w:val="18"/>
          <w:szCs w:val="18"/>
          <w:lang w:val="en-US" w:eastAsia="zh-CN" w:bidi="ar"/>
        </w:rPr>
        <w:t>（二）设备费：指在项目研究过程中购置设备和设备耗材、升级维护现有设备以及租用外单位设备而发生的费用。应当严格控制设备购置，鼓励共享、租赁以及对现有设备进行升级。</w:t>
      </w:r>
    </w:p>
    <w:p w14:paraId="7A0DADDB">
      <w:pPr>
        <w:keepNext w:val="0"/>
        <w:keepLines w:val="0"/>
        <w:pageBreakBefore w:val="0"/>
        <w:widowControl/>
        <w:suppressLineNumbers w:val="0"/>
        <w:kinsoku/>
        <w:wordWrap/>
        <w:overflowPunct/>
        <w:topLinePunct w:val="0"/>
        <w:autoSpaceDE/>
        <w:autoSpaceDN/>
        <w:bidi w:val="0"/>
        <w:adjustRightInd/>
        <w:snapToGrid/>
        <w:spacing w:line="290" w:lineRule="exact"/>
        <w:ind w:firstLine="360" w:firstLineChars="200"/>
        <w:jc w:val="left"/>
        <w:textAlignment w:val="auto"/>
        <w:rPr>
          <w:rFonts w:ascii="Times New Roman" w:hAnsi="Times New Roman" w:eastAsia="宋体"/>
          <w:sz w:val="18"/>
          <w:szCs w:val="18"/>
        </w:rPr>
      </w:pPr>
      <w:r>
        <w:rPr>
          <w:rFonts w:ascii="Times New Roman" w:hAnsi="Times New Roman" w:eastAsia="宋体" w:cs="仿宋_GB2312"/>
          <w:color w:val="000000"/>
          <w:kern w:val="0"/>
          <w:sz w:val="18"/>
          <w:szCs w:val="18"/>
          <w:lang w:val="en-US" w:eastAsia="zh-CN" w:bidi="ar"/>
        </w:rPr>
        <w:t xml:space="preserve">（三）专家咨询费：指在项目研究过程中支付给临时聘请的咨询专家的费用。专家咨询费预算由项目负责人按照项目研究实际需要编制，支出标准按照国家有关规定执行。 </w:t>
      </w:r>
    </w:p>
    <w:p w14:paraId="3B8D5B14">
      <w:pPr>
        <w:keepNext w:val="0"/>
        <w:keepLines w:val="0"/>
        <w:pageBreakBefore w:val="0"/>
        <w:widowControl/>
        <w:suppressLineNumbers w:val="0"/>
        <w:kinsoku/>
        <w:wordWrap/>
        <w:overflowPunct/>
        <w:topLinePunct w:val="0"/>
        <w:autoSpaceDE/>
        <w:autoSpaceDN/>
        <w:bidi w:val="0"/>
        <w:adjustRightInd/>
        <w:snapToGrid/>
        <w:spacing w:line="290" w:lineRule="exact"/>
        <w:ind w:firstLine="360" w:firstLineChars="200"/>
        <w:jc w:val="left"/>
        <w:textAlignment w:val="auto"/>
        <w:rPr>
          <w:rFonts w:ascii="Times New Roman" w:hAnsi="Times New Roman" w:eastAsia="宋体"/>
          <w:sz w:val="18"/>
          <w:szCs w:val="18"/>
        </w:rPr>
      </w:pPr>
      <w:r>
        <w:rPr>
          <w:rFonts w:ascii="Times New Roman" w:hAnsi="Times New Roman" w:eastAsia="宋体" w:cs="仿宋_GB2312"/>
          <w:color w:val="000000"/>
          <w:kern w:val="0"/>
          <w:sz w:val="18"/>
          <w:szCs w:val="18"/>
          <w:lang w:val="en-US" w:eastAsia="zh-CN" w:bidi="ar"/>
        </w:rPr>
        <w:t>（四）其他支出：项目研究过程中发生的除上述费用之外的其他支出，应当在编制预算时单独列示，单独核定。</w:t>
      </w:r>
    </w:p>
    <w:p w14:paraId="184E290E">
      <w:pPr>
        <w:keepNext w:val="0"/>
        <w:keepLines w:val="0"/>
        <w:pageBreakBefore w:val="0"/>
        <w:kinsoku/>
        <w:wordWrap/>
        <w:overflowPunct/>
        <w:topLinePunct w:val="0"/>
        <w:autoSpaceDE/>
        <w:autoSpaceDN/>
        <w:bidi w:val="0"/>
        <w:adjustRightInd/>
        <w:snapToGrid/>
        <w:spacing w:line="250" w:lineRule="exact"/>
        <w:textAlignment w:val="auto"/>
        <w:rPr>
          <w:rFonts w:hint="default" w:asciiTheme="minorEastAsia" w:hAnsiTheme="minorEastAsia" w:cstheme="minorEastAsia"/>
          <w:sz w:val="32"/>
          <w:szCs w:val="32"/>
          <w:lang w:val="en-US" w:eastAsia="zh-CN"/>
        </w:rPr>
      </w:pPr>
    </w:p>
    <w:sectPr>
      <w:pgSz w:w="11906" w:h="16838"/>
      <w:pgMar w:top="782" w:right="1440"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84C04"/>
    <w:multiLevelType w:val="singleLevel"/>
    <w:tmpl w:val="91584C0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Yjc5NmViM2Q4N2Y5MGI1OTdjNjMxYzlkZjc5ZTQifQ=="/>
    <w:docVar w:name="KSO_WPS_MARK_KEY" w:val="ea050bd3-f07e-4fbd-aa40-d8471bd851ce"/>
  </w:docVars>
  <w:rsids>
    <w:rsidRoot w:val="00000000"/>
    <w:rsid w:val="01EC2B8E"/>
    <w:rsid w:val="0485459E"/>
    <w:rsid w:val="0A596557"/>
    <w:rsid w:val="10B0717A"/>
    <w:rsid w:val="11943BFC"/>
    <w:rsid w:val="175D0E96"/>
    <w:rsid w:val="190E6FC0"/>
    <w:rsid w:val="196F0C00"/>
    <w:rsid w:val="20A44F11"/>
    <w:rsid w:val="226D5E6E"/>
    <w:rsid w:val="24895089"/>
    <w:rsid w:val="27440C6E"/>
    <w:rsid w:val="2F4A6D1D"/>
    <w:rsid w:val="31967D98"/>
    <w:rsid w:val="33521557"/>
    <w:rsid w:val="3BDD55E0"/>
    <w:rsid w:val="3F9F35A7"/>
    <w:rsid w:val="43AB20C9"/>
    <w:rsid w:val="44973F8F"/>
    <w:rsid w:val="48EC685F"/>
    <w:rsid w:val="499802C4"/>
    <w:rsid w:val="4BC0262E"/>
    <w:rsid w:val="4F1876B1"/>
    <w:rsid w:val="50601B5A"/>
    <w:rsid w:val="559E1BCC"/>
    <w:rsid w:val="58B85A6E"/>
    <w:rsid w:val="59285BD4"/>
    <w:rsid w:val="5B1C4EDD"/>
    <w:rsid w:val="5D0F1298"/>
    <w:rsid w:val="604C383C"/>
    <w:rsid w:val="625E3975"/>
    <w:rsid w:val="649D437C"/>
    <w:rsid w:val="663956B2"/>
    <w:rsid w:val="67873B6D"/>
    <w:rsid w:val="67E36658"/>
    <w:rsid w:val="681D0932"/>
    <w:rsid w:val="71D20BBC"/>
    <w:rsid w:val="720C42FB"/>
    <w:rsid w:val="72D91540"/>
    <w:rsid w:val="7A2B07AD"/>
    <w:rsid w:val="7F920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41"/>
    <w:basedOn w:val="4"/>
    <w:qFormat/>
    <w:uiPriority w:val="0"/>
    <w:rPr>
      <w:rFonts w:ascii="黑体" w:hAnsi="宋体" w:eastAsia="黑体" w:cs="黑体"/>
      <w:color w:val="000000"/>
      <w:sz w:val="32"/>
      <w:szCs w:val="32"/>
      <w:u w:val="none"/>
    </w:rPr>
  </w:style>
  <w:style w:type="character" w:customStyle="1" w:styleId="6">
    <w:name w:val="font31"/>
    <w:basedOn w:val="4"/>
    <w:qFormat/>
    <w:uiPriority w:val="0"/>
    <w:rPr>
      <w:rFonts w:hint="eastAsia" w:ascii="黑体" w:hAnsi="宋体" w:eastAsia="黑体" w:cs="黑体"/>
      <w:b/>
      <w:color w:val="000000"/>
      <w:sz w:val="40"/>
      <w:szCs w:val="40"/>
      <w:u w:val="none"/>
    </w:rPr>
  </w:style>
  <w:style w:type="character" w:customStyle="1" w:styleId="7">
    <w:name w:val="font21"/>
    <w:basedOn w:val="4"/>
    <w:qFormat/>
    <w:uiPriority w:val="0"/>
    <w:rPr>
      <w:rFonts w:hint="eastAsia" w:ascii="黑体" w:hAnsi="宋体" w:eastAsia="黑体" w:cs="黑体"/>
      <w:color w:val="000000"/>
      <w:sz w:val="40"/>
      <w:szCs w:val="40"/>
      <w:u w:val="none"/>
    </w:rPr>
  </w:style>
  <w:style w:type="character" w:customStyle="1" w:styleId="8">
    <w:name w:val="font51"/>
    <w:basedOn w:val="4"/>
    <w:qFormat/>
    <w:uiPriority w:val="0"/>
    <w:rPr>
      <w:rFonts w:hint="eastAsia" w:ascii="宋体" w:hAnsi="宋体" w:eastAsia="宋体" w:cs="宋体"/>
      <w:color w:val="000000"/>
      <w:sz w:val="22"/>
      <w:szCs w:val="22"/>
      <w:u w:val="none"/>
    </w:rPr>
  </w:style>
  <w:style w:type="character" w:customStyle="1" w:styleId="9">
    <w:name w:val="font11"/>
    <w:basedOn w:val="4"/>
    <w:qFormat/>
    <w:uiPriority w:val="0"/>
    <w:rPr>
      <w:rFonts w:hint="eastAsia" w:ascii="宋体" w:hAnsi="宋体" w:eastAsia="宋体" w:cs="宋体"/>
      <w:color w:val="000000"/>
      <w:sz w:val="24"/>
      <w:szCs w:val="24"/>
      <w:u w:val="none"/>
    </w:rPr>
  </w:style>
  <w:style w:type="character" w:customStyle="1" w:styleId="10">
    <w:name w:val="font01"/>
    <w:basedOn w:val="4"/>
    <w:qFormat/>
    <w:uiPriority w:val="0"/>
    <w:rPr>
      <w:rFonts w:hint="eastAsia" w:ascii="黑体" w:hAnsi="宋体" w:eastAsia="黑体" w:cs="黑体"/>
      <w:b/>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1814</Words>
  <Characters>1821</Characters>
  <Lines>0</Lines>
  <Paragraphs>0</Paragraphs>
  <TotalTime>36</TotalTime>
  <ScaleCrop>false</ScaleCrop>
  <LinksUpToDate>false</LinksUpToDate>
  <CharactersWithSpaces>1853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离樾清尘</cp:lastModifiedBy>
  <cp:lastPrinted>2024-10-21T03:36:00Z</cp:lastPrinted>
  <dcterms:modified xsi:type="dcterms:W3CDTF">2024-10-21T03:39:51Z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3F088B6988EC47AEAB74F9A69F0B09D8_13</vt:lpwstr>
  </property>
</Properties>
</file>